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9"/>
        <w:gridCol w:w="4839"/>
      </w:tblGrid>
      <w:tr w:rsidR="00E07856">
        <w:tc>
          <w:tcPr>
            <w:tcW w:w="4799" w:type="dxa"/>
            <w:shd w:val="clear" w:color="auto" w:fill="auto"/>
          </w:tcPr>
          <w:p w:rsidR="00E07856" w:rsidRDefault="00E07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shd w:val="clear" w:color="auto" w:fill="auto"/>
          </w:tcPr>
          <w:p w:rsidR="00E07856" w:rsidRDefault="009366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Комітет Верховної Ради України </w:t>
            </w:r>
          </w:p>
          <w:p w:rsidR="00E07856" w:rsidRDefault="009366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з питань здоров'я нації, медичної допомоги та медичного страхування</w:t>
            </w:r>
          </w:p>
        </w:tc>
      </w:tr>
    </w:tbl>
    <w:p w:rsidR="00E07856" w:rsidRDefault="00E0785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Комітету</w:t>
      </w: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експертного висновку</w:t>
      </w: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законопроекту № 3648</w:t>
      </w: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9366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про безпеку та якість донорської крові та компонентів крові (реєстр. №3648), поданий народними депутатами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Стефанишиною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Радуцьким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 та іншими.</w:t>
      </w: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Метою законопроекту є впровадження правового регулювання у сфері безпеки та якості донорської крові та компонентів крові у відповідності до вимог Угоди про асоціацію та Стратегії розвитку системи крові, що дозволить реформувати систему крові України з урахуванням кращих європейських стандартів та практик.</w:t>
      </w:r>
    </w:p>
    <w:p w:rsidR="00E07856" w:rsidRDefault="009366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E07856" w:rsidRDefault="00936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Разом з тим, Комітет звертає увагу на необхідність:</w:t>
      </w:r>
    </w:p>
    <w:p w:rsidR="00E07856" w:rsidRDefault="00936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конкретизації повноважень Компетентного органу і Національного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трансфузіологічного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центру у здійсненні регулювання у сфері безпеки та якості донорської крові та компонентів крові з їх чітким розмежуванням; </w:t>
      </w:r>
    </w:p>
    <w:p w:rsidR="00E07856" w:rsidRDefault="00936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забезпечення принципу добровільного безоплатного донорства крові відповідно до вимог Директив Європейського Союзу та практики Всесвітньої організації охорони здоров’я;</w:t>
      </w:r>
    </w:p>
    <w:p w:rsidR="00E07856" w:rsidRDefault="00936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вилучення із законопроекту оціночних понять, які можуть мати неоднозначне тлумачення.</w:t>
      </w:r>
    </w:p>
    <w:p w:rsidR="00564BD8" w:rsidRDefault="0056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Зокрема доцільно зазначити, що потребують уточнення та забезпечення правової визначено</w:t>
      </w:r>
      <w:r w:rsidRPr="00564BD8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6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положення законопроекту щодо підстав, форм, строків, порядку здійснення інспекційних заходів та інших належних заходів контролю. Також, необхідно уточнити порядок організації донорства крові та компонентів крові у разі стихійного лиха, аварій, катастроф та </w:t>
      </w:r>
      <w:r w:rsidR="00606B4E">
        <w:rPr>
          <w:rFonts w:ascii="Times New Roman" w:eastAsia="Times New Roman" w:hAnsi="Times New Roman" w:cs="Times New Roman"/>
          <w:sz w:val="28"/>
          <w:szCs w:val="28"/>
        </w:rPr>
        <w:t>інших надзвичайних ситуацій шляхом викладення у тілі законопроекту або надання відповідних повноважень на розроблення порядку відповідному органу державної виконавчої влади.</w:t>
      </w:r>
    </w:p>
    <w:p w:rsidR="00606B4E" w:rsidRDefault="00606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 слід звернути увагу на необхідність виключення з законопроекту оціночних понять, до прикладу надання можливості здійснення «інших» повноважень органами державної виконавчої влади та інших подібних елементів проекту.</w:t>
      </w:r>
    </w:p>
    <w:p w:rsidR="00E07856" w:rsidRDefault="009366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частини першої статті 93 Регламенту Верховної Ради України Комітет на своєму засіданні 15 липня 2020 року, (протокол № 47), дійшов до висновку та прийняв рішення, що проект Закону про безпеку та якість донорської крові та компонентів крові (реєстр. №3648), відповідає вимогам антикорупційного законодавства.</w:t>
      </w: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Комітету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А. РАДІНА</w:t>
      </w: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E0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56" w:rsidRDefault="0093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sectPr w:rsidR="00E07856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55" w:rsidRDefault="00083555">
      <w:pPr>
        <w:spacing w:after="0" w:line="240" w:lineRule="auto"/>
      </w:pPr>
      <w:r>
        <w:separator/>
      </w:r>
    </w:p>
  </w:endnote>
  <w:endnote w:type="continuationSeparator" w:id="0">
    <w:p w:rsidR="00083555" w:rsidRDefault="0008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56" w:rsidRDefault="00E078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07856" w:rsidRDefault="00E078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55" w:rsidRDefault="00083555">
      <w:pPr>
        <w:spacing w:after="0" w:line="240" w:lineRule="auto"/>
      </w:pPr>
      <w:r>
        <w:separator/>
      </w:r>
    </w:p>
  </w:footnote>
  <w:footnote w:type="continuationSeparator" w:id="0">
    <w:p w:rsidR="00083555" w:rsidRDefault="0008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56" w:rsidRDefault="009366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56" w:rsidRDefault="00E078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6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E07856">
      <w:tc>
        <w:tcPr>
          <w:tcW w:w="11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E07856" w:rsidRDefault="00936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eastAsia="uk-UA"/>
            </w:rPr>
            <w:drawing>
              <wp:anchor distT="360045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07856" w:rsidRDefault="00936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E07856" w:rsidRDefault="00936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вул. М. Грушевського, 5,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:rsidR="00E07856" w:rsidRDefault="00E078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7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E07856">
      <w:tc>
        <w:tcPr>
          <w:tcW w:w="1087" w:type="dxa"/>
          <w:tcBorders>
            <w:top w:val="nil"/>
          </w:tcBorders>
          <w:shd w:val="clear" w:color="auto" w:fill="auto"/>
        </w:tcPr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9713" w:type="dxa"/>
          <w:shd w:val="clear" w:color="auto" w:fill="auto"/>
        </w:tcPr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  <w:shd w:val="clear" w:color="auto" w:fill="auto"/>
        </w:tcPr>
        <w:p w:rsidR="00E07856" w:rsidRDefault="00E07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</w:tr>
  </w:tbl>
  <w:p w:rsidR="00E07856" w:rsidRDefault="00E078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6"/>
    <w:rsid w:val="00083555"/>
    <w:rsid w:val="00334952"/>
    <w:rsid w:val="00564BD8"/>
    <w:rsid w:val="00606B4E"/>
    <w:rsid w:val="00936654"/>
    <w:rsid w:val="00E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EA4C-031C-4028-86EB-569273F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Вишневська Катерина Олександрівна</cp:lastModifiedBy>
  <cp:revision>2</cp:revision>
  <dcterms:created xsi:type="dcterms:W3CDTF">2020-07-24T12:55:00Z</dcterms:created>
  <dcterms:modified xsi:type="dcterms:W3CDTF">2020-07-24T12:55:00Z</dcterms:modified>
</cp:coreProperties>
</file>